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517" w:rsidRDefault="00935517" w:rsidP="00935517">
      <w:pPr>
        <w:widowControl w:val="0"/>
        <w:autoSpaceDE w:val="0"/>
        <w:autoSpaceDN w:val="0"/>
        <w:adjustRightInd w:val="0"/>
        <w:spacing w:after="240"/>
        <w:jc w:val="center"/>
        <w:rPr>
          <w:rFonts w:asciiTheme="majorHAnsi" w:hAnsiTheme="majorHAnsi" w:cs="Helvetica Neue Light"/>
          <w:b/>
          <w:iCs/>
          <w:sz w:val="22"/>
          <w:szCs w:val="22"/>
        </w:rPr>
      </w:pPr>
      <w:bookmarkStart w:id="0" w:name="OLE_LINK1"/>
      <w:bookmarkStart w:id="1" w:name="OLE_LINK2"/>
      <w:bookmarkStart w:id="2" w:name="_GoBack"/>
      <w:r w:rsidRPr="00935517">
        <w:rPr>
          <w:rFonts w:asciiTheme="majorHAnsi" w:hAnsiTheme="majorHAnsi" w:cs="Helvetica Neue Light"/>
          <w:b/>
          <w:iCs/>
          <w:sz w:val="22"/>
          <w:szCs w:val="22"/>
        </w:rPr>
        <w:t>The review of the Australian Personal Property Securities Act  - final report</w:t>
      </w:r>
    </w:p>
    <w:bookmarkEnd w:id="2"/>
    <w:p w:rsidR="00935517" w:rsidRPr="00935517" w:rsidRDefault="00935517" w:rsidP="00935517">
      <w:pPr>
        <w:widowControl w:val="0"/>
        <w:autoSpaceDE w:val="0"/>
        <w:autoSpaceDN w:val="0"/>
        <w:adjustRightInd w:val="0"/>
        <w:spacing w:after="240"/>
        <w:jc w:val="center"/>
        <w:rPr>
          <w:rFonts w:asciiTheme="majorHAnsi" w:hAnsiTheme="majorHAnsi" w:cs="Helvetica Neue"/>
          <w:b/>
          <w:sz w:val="22"/>
          <w:szCs w:val="22"/>
        </w:rPr>
      </w:pPr>
    </w:p>
    <w:p w:rsidR="00935517" w:rsidRPr="0096791D" w:rsidRDefault="00935517" w:rsidP="00935517">
      <w:pPr>
        <w:pStyle w:val="ListParagraph"/>
        <w:widowControl w:val="0"/>
        <w:numPr>
          <w:ilvl w:val="0"/>
          <w:numId w:val="4"/>
        </w:numPr>
        <w:autoSpaceDE w:val="0"/>
        <w:autoSpaceDN w:val="0"/>
        <w:adjustRightInd w:val="0"/>
        <w:spacing w:after="240"/>
        <w:ind w:left="714" w:hanging="357"/>
        <w:contextualSpacing w:val="0"/>
        <w:jc w:val="both"/>
        <w:rPr>
          <w:rFonts w:asciiTheme="majorHAnsi" w:hAnsiTheme="majorHAnsi" w:cs="Arial"/>
          <w:color w:val="000000" w:themeColor="text1"/>
          <w:sz w:val="22"/>
          <w:szCs w:val="22"/>
        </w:rPr>
      </w:pPr>
      <w:r w:rsidRPr="0096791D">
        <w:rPr>
          <w:rFonts w:asciiTheme="majorHAnsi" w:hAnsiTheme="majorHAnsi" w:cs="Helvetica Neue"/>
          <w:sz w:val="22"/>
          <w:szCs w:val="22"/>
        </w:rPr>
        <w:t xml:space="preserve">The </w:t>
      </w:r>
      <w:r w:rsidRPr="0096791D">
        <w:rPr>
          <w:rFonts w:asciiTheme="majorHAnsi" w:hAnsiTheme="majorHAnsi" w:cs="Helvetica Neue Light"/>
          <w:iCs/>
          <w:sz w:val="22"/>
          <w:szCs w:val="22"/>
        </w:rPr>
        <w:t xml:space="preserve">Personal Property Securities Act </w:t>
      </w:r>
      <w:r w:rsidRPr="0096791D">
        <w:rPr>
          <w:rFonts w:asciiTheme="majorHAnsi" w:hAnsiTheme="majorHAnsi" w:cs="Times New Roman"/>
          <w:iCs/>
          <w:sz w:val="22"/>
          <w:szCs w:val="22"/>
        </w:rPr>
        <w:t>(PPSA, the Act)</w:t>
      </w:r>
      <w:r w:rsidRPr="0096791D">
        <w:rPr>
          <w:rFonts w:asciiTheme="majorHAnsi" w:hAnsiTheme="majorHAnsi" w:cs="Helvetica Neue Light"/>
          <w:iCs/>
          <w:sz w:val="22"/>
          <w:szCs w:val="22"/>
        </w:rPr>
        <w:t xml:space="preserve"> </w:t>
      </w:r>
      <w:r w:rsidRPr="0096791D">
        <w:rPr>
          <w:rFonts w:asciiTheme="majorHAnsi" w:hAnsiTheme="majorHAnsi" w:cs="Times New Roman"/>
          <w:iCs/>
          <w:sz w:val="22"/>
          <w:szCs w:val="22"/>
        </w:rPr>
        <w:t>2</w:t>
      </w:r>
      <w:r w:rsidRPr="0096791D">
        <w:rPr>
          <w:rFonts w:asciiTheme="majorHAnsi" w:hAnsiTheme="majorHAnsi" w:cs="Helvetica Neue Light"/>
          <w:iCs/>
          <w:sz w:val="22"/>
          <w:szCs w:val="22"/>
        </w:rPr>
        <w:t>009</w:t>
      </w:r>
      <w:r w:rsidRPr="0096791D">
        <w:rPr>
          <w:rFonts w:asciiTheme="majorHAnsi" w:hAnsiTheme="majorHAnsi" w:cs="Times New Roman"/>
          <w:iCs/>
          <w:sz w:val="22"/>
          <w:szCs w:val="22"/>
        </w:rPr>
        <w:t xml:space="preserve"> (Cth), </w:t>
      </w:r>
      <w:r w:rsidRPr="0096791D">
        <w:rPr>
          <w:rFonts w:asciiTheme="majorHAnsi" w:hAnsiTheme="majorHAnsi" w:cs="Times New Roman"/>
          <w:sz w:val="22"/>
          <w:szCs w:val="22"/>
        </w:rPr>
        <w:t xml:space="preserve">in force from January 2012, established a national PPS register and a new regime for creation, legal effect and enforcement of security interests in personal property in Australia. In doing so, it introduced a single, national set of rules in a federal state. While unique in some areas, it is broadly based on </w:t>
      </w:r>
      <w:r w:rsidRPr="0096791D">
        <w:rPr>
          <w:rFonts w:asciiTheme="majorHAnsi" w:hAnsiTheme="majorHAnsi" w:cs="Helvetica Neue"/>
          <w:sz w:val="22"/>
          <w:szCs w:val="22"/>
        </w:rPr>
        <w:t>principles developed and implemented in the United States, Canada and New Zealand</w:t>
      </w:r>
      <w:r w:rsidRPr="0096791D">
        <w:rPr>
          <w:rFonts w:asciiTheme="majorHAnsi" w:hAnsiTheme="majorHAnsi" w:cs="Times New Roman"/>
          <w:sz w:val="22"/>
          <w:szCs w:val="22"/>
        </w:rPr>
        <w:t>. The Act provided for a statutory review to be concluded three years after its commencement. The review</w:t>
      </w:r>
      <w:r>
        <w:rPr>
          <w:rFonts w:asciiTheme="majorHAnsi" w:hAnsiTheme="majorHAnsi" w:cs="Times New Roman"/>
          <w:sz w:val="22"/>
          <w:szCs w:val="22"/>
        </w:rPr>
        <w:t>er,</w:t>
      </w:r>
      <w:r w:rsidRPr="0096791D">
        <w:rPr>
          <w:rFonts w:asciiTheme="majorHAnsi" w:hAnsiTheme="majorHAnsi" w:cs="Times New Roman"/>
          <w:sz w:val="22"/>
          <w:szCs w:val="22"/>
        </w:rPr>
        <w:t xml:space="preserve"> </w:t>
      </w:r>
      <w:r>
        <w:rPr>
          <w:rFonts w:asciiTheme="majorHAnsi" w:hAnsiTheme="majorHAnsi" w:cs="Times New Roman"/>
          <w:sz w:val="22"/>
          <w:szCs w:val="22"/>
        </w:rPr>
        <w:t xml:space="preserve">Mr Bruce Whittaker, </w:t>
      </w:r>
      <w:r w:rsidRPr="0096791D">
        <w:rPr>
          <w:rFonts w:asciiTheme="majorHAnsi" w:hAnsiTheme="majorHAnsi" w:cs="Times New Roman"/>
          <w:sz w:val="22"/>
          <w:szCs w:val="22"/>
        </w:rPr>
        <w:t>delivered the final report to the Australian Government in March 2015. The two-stage review process saw 4 consultation papers, an interim report and in total 80 responses submitted from industry organisations, individual businesses, law firms, law societies, academics and government bodies representing relevant interests</w:t>
      </w:r>
      <w:bookmarkEnd w:id="0"/>
      <w:bookmarkEnd w:id="1"/>
      <w:r w:rsidRPr="0096791D">
        <w:rPr>
          <w:rFonts w:asciiTheme="majorHAnsi" w:hAnsiTheme="majorHAnsi" w:cs="Times New Roman"/>
          <w:sz w:val="22"/>
          <w:szCs w:val="22"/>
        </w:rPr>
        <w:t>.</w:t>
      </w:r>
      <w:r>
        <w:rPr>
          <w:rFonts w:asciiTheme="majorHAnsi" w:hAnsiTheme="majorHAnsi" w:cs="Times New Roman"/>
          <w:sz w:val="22"/>
          <w:szCs w:val="22"/>
        </w:rPr>
        <w:t xml:space="preserve"> The purpose of this note is to provide an overview of the final report. </w:t>
      </w:r>
    </w:p>
    <w:p w:rsidR="00935517" w:rsidRPr="0096791D" w:rsidRDefault="00935517" w:rsidP="00935517">
      <w:pPr>
        <w:pStyle w:val="ListParagraph"/>
        <w:widowControl w:val="0"/>
        <w:numPr>
          <w:ilvl w:val="0"/>
          <w:numId w:val="4"/>
        </w:numPr>
        <w:autoSpaceDE w:val="0"/>
        <w:autoSpaceDN w:val="0"/>
        <w:adjustRightInd w:val="0"/>
        <w:spacing w:after="240"/>
        <w:contextualSpacing w:val="0"/>
        <w:jc w:val="both"/>
        <w:rPr>
          <w:rFonts w:asciiTheme="majorHAnsi" w:hAnsiTheme="majorHAnsi" w:cs="Arial"/>
          <w:color w:val="000000" w:themeColor="text1"/>
          <w:sz w:val="22"/>
          <w:szCs w:val="22"/>
        </w:rPr>
      </w:pPr>
      <w:r w:rsidRPr="0096791D">
        <w:rPr>
          <w:rFonts w:asciiTheme="majorHAnsi" w:hAnsiTheme="majorHAnsi" w:cs="Times New Roman"/>
          <w:sz w:val="22"/>
          <w:szCs w:val="22"/>
        </w:rPr>
        <w:t>The overall view of the PPSA is that despite its many shortcomings the Act should not be repealed as to do so would mean the return of the previous law, which on balance would be a worse outcome. Instead, numerous amendments were suggested. Not all of the nearly 400 recommendations contain a conclusive assessment on whether or not to amend the law. In some specific areas it was recommended that further work is needed, in particular where further consultation with stakeholders is required.</w:t>
      </w:r>
    </w:p>
    <w:p w:rsidR="00935517" w:rsidRPr="0096791D" w:rsidRDefault="00935517" w:rsidP="00935517">
      <w:pPr>
        <w:pStyle w:val="ListParagraph"/>
        <w:widowControl w:val="0"/>
        <w:numPr>
          <w:ilvl w:val="0"/>
          <w:numId w:val="4"/>
        </w:numPr>
        <w:autoSpaceDE w:val="0"/>
        <w:autoSpaceDN w:val="0"/>
        <w:adjustRightInd w:val="0"/>
        <w:spacing w:after="240"/>
        <w:contextualSpacing w:val="0"/>
        <w:jc w:val="both"/>
        <w:rPr>
          <w:rFonts w:asciiTheme="majorHAnsi" w:hAnsiTheme="majorHAnsi" w:cs="Arial"/>
          <w:color w:val="000000" w:themeColor="text1"/>
          <w:sz w:val="22"/>
          <w:szCs w:val="22"/>
        </w:rPr>
      </w:pPr>
      <w:r w:rsidRPr="0096791D">
        <w:rPr>
          <w:rFonts w:asciiTheme="majorHAnsi" w:hAnsiTheme="majorHAnsi" w:cs="Times New Roman"/>
          <w:sz w:val="22"/>
          <w:szCs w:val="22"/>
        </w:rPr>
        <w:t xml:space="preserve">One of the key failings of the PPSA reform has been the insufficient level of awareness of the Act when it came into operation. The PPSA introduced some fundamental changes compared to the previous law, which means that certain market actors need to now take action to protect their rights where previously no action was required. </w:t>
      </w:r>
      <w:r w:rsidRPr="0096791D">
        <w:rPr>
          <w:rFonts w:asciiTheme="majorHAnsi" w:hAnsiTheme="majorHAnsi"/>
          <w:sz w:val="22"/>
          <w:szCs w:val="22"/>
        </w:rPr>
        <w:t xml:space="preserve">Many small businesses and their advisors first learned about it only </w:t>
      </w:r>
      <w:r w:rsidRPr="0096791D">
        <w:rPr>
          <w:rFonts w:asciiTheme="majorHAnsi" w:hAnsiTheme="majorHAnsi" w:cs="Times New Roman"/>
          <w:sz w:val="22"/>
          <w:szCs w:val="22"/>
        </w:rPr>
        <w:t>upon</w:t>
      </w:r>
      <w:r w:rsidRPr="0096791D">
        <w:rPr>
          <w:rFonts w:asciiTheme="majorHAnsi" w:hAnsiTheme="majorHAnsi"/>
          <w:sz w:val="22"/>
          <w:szCs w:val="22"/>
        </w:rPr>
        <w:t xml:space="preserve"> discovering that they had lost ownership of the </w:t>
      </w:r>
      <w:r w:rsidRPr="0096791D">
        <w:rPr>
          <w:rFonts w:asciiTheme="majorHAnsi" w:hAnsiTheme="majorHAnsi" w:cs="Times New Roman"/>
          <w:sz w:val="22"/>
          <w:szCs w:val="22"/>
        </w:rPr>
        <w:t>assets</w:t>
      </w:r>
      <w:r w:rsidRPr="0096791D">
        <w:rPr>
          <w:rFonts w:asciiTheme="majorHAnsi" w:hAnsiTheme="majorHAnsi"/>
          <w:sz w:val="22"/>
          <w:szCs w:val="22"/>
        </w:rPr>
        <w:t xml:space="preserve"> in an insolvency of their customer because they had not perfected their interest in accordance with the Act. The education and awareness-raising activities</w:t>
      </w:r>
      <w:r w:rsidRPr="0096791D">
        <w:rPr>
          <w:rFonts w:asciiTheme="majorHAnsi" w:hAnsiTheme="majorHAnsi" w:cs="Times New Roman"/>
          <w:sz w:val="22"/>
          <w:szCs w:val="22"/>
        </w:rPr>
        <w:t>,</w:t>
      </w:r>
      <w:r w:rsidRPr="0096791D">
        <w:rPr>
          <w:rFonts w:asciiTheme="majorHAnsi" w:hAnsiTheme="majorHAnsi"/>
          <w:sz w:val="22"/>
          <w:szCs w:val="22"/>
        </w:rPr>
        <w:t xml:space="preserve"> which the Australian Government </w:t>
      </w:r>
      <w:r w:rsidRPr="0096791D">
        <w:rPr>
          <w:rFonts w:asciiTheme="majorHAnsi" w:hAnsiTheme="majorHAnsi" w:cs="Times New Roman"/>
          <w:sz w:val="22"/>
          <w:szCs w:val="22"/>
        </w:rPr>
        <w:t xml:space="preserve">had </w:t>
      </w:r>
      <w:r w:rsidRPr="0096791D">
        <w:rPr>
          <w:rFonts w:asciiTheme="majorHAnsi" w:hAnsiTheme="majorHAnsi"/>
          <w:sz w:val="22"/>
          <w:szCs w:val="22"/>
        </w:rPr>
        <w:t>run since 2006 (</w:t>
      </w:r>
      <w:r w:rsidRPr="0096791D">
        <w:rPr>
          <w:rFonts w:asciiTheme="majorHAnsi" w:hAnsiTheme="majorHAnsi" w:cs="Times New Roman"/>
          <w:sz w:val="22"/>
          <w:szCs w:val="22"/>
        </w:rPr>
        <w:t xml:space="preserve">e.g. </w:t>
      </w:r>
      <w:r w:rsidRPr="0096791D">
        <w:rPr>
          <w:rFonts w:asciiTheme="majorHAnsi" w:hAnsiTheme="majorHAnsi"/>
          <w:sz w:val="22"/>
          <w:szCs w:val="22"/>
        </w:rPr>
        <w:t>media campaign, mail-outs, conference presentations, brochures, videos, PPS road show)</w:t>
      </w:r>
      <w:r w:rsidRPr="0096791D">
        <w:rPr>
          <w:rFonts w:asciiTheme="majorHAnsi" w:hAnsiTheme="majorHAnsi" w:cs="Times New Roman"/>
          <w:sz w:val="22"/>
          <w:szCs w:val="22"/>
        </w:rPr>
        <w:t>,</w:t>
      </w:r>
      <w:r w:rsidRPr="0096791D">
        <w:rPr>
          <w:rFonts w:asciiTheme="majorHAnsi" w:hAnsiTheme="majorHAnsi"/>
          <w:sz w:val="22"/>
          <w:szCs w:val="22"/>
        </w:rPr>
        <w:t xml:space="preserve"> were not sufficiently effective. </w:t>
      </w:r>
    </w:p>
    <w:p w:rsidR="00935517" w:rsidRPr="0096791D" w:rsidRDefault="00935517" w:rsidP="00935517">
      <w:pPr>
        <w:pStyle w:val="ListParagraph"/>
        <w:widowControl w:val="0"/>
        <w:numPr>
          <w:ilvl w:val="0"/>
          <w:numId w:val="4"/>
        </w:numPr>
        <w:autoSpaceDE w:val="0"/>
        <w:autoSpaceDN w:val="0"/>
        <w:adjustRightInd w:val="0"/>
        <w:spacing w:after="240"/>
        <w:contextualSpacing w:val="0"/>
        <w:jc w:val="both"/>
        <w:rPr>
          <w:rFonts w:asciiTheme="majorHAnsi" w:hAnsiTheme="majorHAnsi" w:cs="Arial"/>
          <w:color w:val="000000" w:themeColor="text1"/>
          <w:sz w:val="22"/>
          <w:szCs w:val="22"/>
        </w:rPr>
      </w:pPr>
      <w:r w:rsidRPr="0096791D">
        <w:rPr>
          <w:rFonts w:asciiTheme="majorHAnsi" w:hAnsiTheme="majorHAnsi" w:cs="Times New Roman"/>
          <w:sz w:val="22"/>
          <w:szCs w:val="22"/>
        </w:rPr>
        <w:t xml:space="preserve">Another problem has been the insufficient level of understanding of the concepts relating to the Act and to the Register </w:t>
      </w:r>
      <w:r w:rsidRPr="0096791D">
        <w:rPr>
          <w:rFonts w:asciiTheme="majorHAnsi" w:hAnsiTheme="majorHAnsi"/>
          <w:sz w:val="22"/>
          <w:szCs w:val="22"/>
        </w:rPr>
        <w:t xml:space="preserve">across all sectors. Comments highlighted that the Register is full of jargon and “traps for the unwary” whilst directly impacting the daily activities of businesses. For example, when filing financing statements, it is not clear what a particular question means or why it is asked. </w:t>
      </w:r>
    </w:p>
    <w:p w:rsidR="00935517" w:rsidRPr="0096791D" w:rsidRDefault="00935517" w:rsidP="00935517">
      <w:pPr>
        <w:pStyle w:val="ListParagraph"/>
        <w:widowControl w:val="0"/>
        <w:numPr>
          <w:ilvl w:val="0"/>
          <w:numId w:val="4"/>
        </w:numPr>
        <w:autoSpaceDE w:val="0"/>
        <w:autoSpaceDN w:val="0"/>
        <w:adjustRightInd w:val="0"/>
        <w:spacing w:after="240"/>
        <w:contextualSpacing w:val="0"/>
        <w:jc w:val="both"/>
        <w:rPr>
          <w:rFonts w:asciiTheme="majorHAnsi" w:hAnsiTheme="majorHAnsi" w:cs="Arial"/>
          <w:color w:val="000000" w:themeColor="text1"/>
          <w:sz w:val="22"/>
          <w:szCs w:val="22"/>
        </w:rPr>
      </w:pPr>
      <w:r w:rsidRPr="0096791D">
        <w:rPr>
          <w:rFonts w:asciiTheme="majorHAnsi" w:hAnsiTheme="majorHAnsi" w:cs="Helvetica Neue"/>
          <w:sz w:val="22"/>
          <w:szCs w:val="22"/>
        </w:rPr>
        <w:t xml:space="preserve">Almost </w:t>
      </w:r>
      <w:r w:rsidRPr="0096791D">
        <w:rPr>
          <w:rFonts w:asciiTheme="majorHAnsi" w:hAnsiTheme="majorHAnsi" w:cs="Times New Roman"/>
          <w:sz w:val="22"/>
          <w:szCs w:val="22"/>
        </w:rPr>
        <w:t xml:space="preserve">all feedback from </w:t>
      </w:r>
      <w:r w:rsidRPr="0096791D">
        <w:rPr>
          <w:rFonts w:asciiTheme="majorHAnsi" w:hAnsiTheme="majorHAnsi" w:cs="Helvetica Neue"/>
          <w:sz w:val="22"/>
          <w:szCs w:val="22"/>
        </w:rPr>
        <w:t>small businesses</w:t>
      </w:r>
      <w:r w:rsidRPr="0096791D">
        <w:rPr>
          <w:rFonts w:asciiTheme="majorHAnsi" w:hAnsiTheme="majorHAnsi" w:cs="Times New Roman"/>
          <w:sz w:val="22"/>
          <w:szCs w:val="22"/>
        </w:rPr>
        <w:t xml:space="preserve"> </w:t>
      </w:r>
      <w:r w:rsidRPr="0096791D">
        <w:rPr>
          <w:rFonts w:asciiTheme="majorHAnsi" w:hAnsiTheme="majorHAnsi" w:cs="Helvetica Neue"/>
          <w:sz w:val="22"/>
          <w:szCs w:val="22"/>
        </w:rPr>
        <w:t xml:space="preserve">identified cost as an issue. Unlike a financial institution, a business that is a secured party under the </w:t>
      </w:r>
      <w:r w:rsidRPr="0096791D">
        <w:rPr>
          <w:rFonts w:asciiTheme="majorHAnsi" w:hAnsiTheme="majorHAnsi" w:cs="Times New Roman"/>
          <w:sz w:val="22"/>
          <w:szCs w:val="22"/>
        </w:rPr>
        <w:t>PPSA</w:t>
      </w:r>
      <w:r w:rsidRPr="0096791D">
        <w:rPr>
          <w:rFonts w:asciiTheme="majorHAnsi" w:hAnsiTheme="majorHAnsi" w:cs="Helvetica Neue"/>
          <w:sz w:val="22"/>
          <w:szCs w:val="22"/>
        </w:rPr>
        <w:t xml:space="preserve"> is likely to need to fund the associated costs itself</w:t>
      </w:r>
      <w:r w:rsidRPr="0096791D">
        <w:rPr>
          <w:rFonts w:asciiTheme="majorHAnsi" w:hAnsiTheme="majorHAnsi" w:cs="Times New Roman"/>
          <w:sz w:val="22"/>
          <w:szCs w:val="22"/>
        </w:rPr>
        <w:t xml:space="preserve"> as it cannot </w:t>
      </w:r>
      <w:r w:rsidRPr="0096791D">
        <w:rPr>
          <w:rFonts w:asciiTheme="majorHAnsi" w:hAnsiTheme="majorHAnsi" w:cs="Helvetica Neue"/>
          <w:sz w:val="22"/>
          <w:szCs w:val="22"/>
        </w:rPr>
        <w:t xml:space="preserve">pass </w:t>
      </w:r>
      <w:r w:rsidRPr="0096791D">
        <w:rPr>
          <w:rFonts w:asciiTheme="majorHAnsi" w:hAnsiTheme="majorHAnsi" w:cs="Times New Roman"/>
          <w:sz w:val="22"/>
          <w:szCs w:val="22"/>
        </w:rPr>
        <w:t>them on</w:t>
      </w:r>
      <w:r w:rsidRPr="0096791D">
        <w:rPr>
          <w:rFonts w:asciiTheme="majorHAnsi" w:hAnsiTheme="majorHAnsi" w:cs="Helvetica Neue"/>
          <w:sz w:val="22"/>
          <w:szCs w:val="22"/>
        </w:rPr>
        <w:t xml:space="preserve"> to its customer. Those costs include professional advice fees, the costs of registering financing statements and the internal administrative costs of dealing with the registrations. </w:t>
      </w:r>
      <w:r w:rsidRPr="0096791D">
        <w:rPr>
          <w:rFonts w:asciiTheme="majorHAnsi" w:hAnsiTheme="majorHAnsi" w:cs="Times New Roman"/>
          <w:sz w:val="22"/>
          <w:szCs w:val="22"/>
        </w:rPr>
        <w:t xml:space="preserve">Added to this is the risk of facing the consequences of an inaccurate registration, i.e. losing </w:t>
      </w:r>
      <w:r w:rsidRPr="0096791D">
        <w:rPr>
          <w:rFonts w:asciiTheme="majorHAnsi" w:hAnsiTheme="majorHAnsi" w:cs="Helvetica Neue"/>
          <w:sz w:val="22"/>
          <w:szCs w:val="22"/>
        </w:rPr>
        <w:t xml:space="preserve">what might be a substantial part of its asset pool. </w:t>
      </w:r>
      <w:r w:rsidRPr="0096791D">
        <w:rPr>
          <w:rFonts w:asciiTheme="majorHAnsi" w:hAnsiTheme="majorHAnsi" w:cs="Times New Roman"/>
          <w:sz w:val="22"/>
          <w:szCs w:val="22"/>
        </w:rPr>
        <w:t xml:space="preserve">Although some of these costs replaced the costs that would have been incurred under the previous law, the new </w:t>
      </w:r>
      <w:r w:rsidRPr="0096791D">
        <w:rPr>
          <w:rFonts w:asciiTheme="majorHAnsi" w:hAnsiTheme="majorHAnsi" w:cs="Helvetica Neue"/>
          <w:sz w:val="22"/>
          <w:szCs w:val="22"/>
        </w:rPr>
        <w:t xml:space="preserve">costs can be significant, especially for suppliers </w:t>
      </w:r>
      <w:r>
        <w:rPr>
          <w:rFonts w:asciiTheme="majorHAnsi" w:hAnsiTheme="majorHAnsi" w:cs="Helvetica Neue"/>
          <w:sz w:val="22"/>
          <w:szCs w:val="22"/>
        </w:rPr>
        <w:t xml:space="preserve">or hiring business </w:t>
      </w:r>
      <w:r w:rsidRPr="0096791D">
        <w:rPr>
          <w:rFonts w:asciiTheme="majorHAnsi" w:hAnsiTheme="majorHAnsi" w:cs="Helvetica Neue"/>
          <w:sz w:val="22"/>
          <w:szCs w:val="22"/>
        </w:rPr>
        <w:t>with a large customer base</w:t>
      </w:r>
      <w:r>
        <w:rPr>
          <w:rFonts w:asciiTheme="majorHAnsi" w:hAnsiTheme="majorHAnsi" w:cs="Helvetica Neue"/>
          <w:sz w:val="22"/>
          <w:szCs w:val="22"/>
        </w:rPr>
        <w:t>.</w:t>
      </w:r>
    </w:p>
    <w:p w:rsidR="00935517" w:rsidRPr="0096791D" w:rsidRDefault="00935517" w:rsidP="00935517">
      <w:pPr>
        <w:pStyle w:val="ListParagraph"/>
        <w:widowControl w:val="0"/>
        <w:numPr>
          <w:ilvl w:val="0"/>
          <w:numId w:val="4"/>
        </w:numPr>
        <w:autoSpaceDE w:val="0"/>
        <w:autoSpaceDN w:val="0"/>
        <w:adjustRightInd w:val="0"/>
        <w:ind w:left="714" w:hanging="357"/>
        <w:contextualSpacing w:val="0"/>
        <w:jc w:val="both"/>
        <w:rPr>
          <w:rFonts w:asciiTheme="majorHAnsi" w:hAnsiTheme="majorHAnsi" w:cs="Arial"/>
          <w:color w:val="000000" w:themeColor="text1"/>
          <w:sz w:val="22"/>
          <w:szCs w:val="22"/>
        </w:rPr>
      </w:pPr>
      <w:r w:rsidRPr="0096791D">
        <w:rPr>
          <w:rFonts w:asciiTheme="majorHAnsi" w:hAnsiTheme="majorHAnsi"/>
          <w:sz w:val="22"/>
          <w:szCs w:val="22"/>
        </w:rPr>
        <w:t>Many problems stem from the</w:t>
      </w:r>
      <w:r w:rsidRPr="0096791D">
        <w:rPr>
          <w:rFonts w:asciiTheme="majorHAnsi" w:hAnsiTheme="majorHAnsi" w:cs="Times New Roman"/>
          <w:sz w:val="22"/>
          <w:szCs w:val="22"/>
        </w:rPr>
        <w:t xml:space="preserve"> </w:t>
      </w:r>
      <w:r w:rsidRPr="0096791D">
        <w:rPr>
          <w:rFonts w:asciiTheme="majorHAnsi" w:hAnsiTheme="majorHAnsi"/>
          <w:sz w:val="22"/>
          <w:szCs w:val="22"/>
        </w:rPr>
        <w:t>drafting of the Act</w:t>
      </w:r>
      <w:r w:rsidRPr="0096791D">
        <w:rPr>
          <w:rFonts w:asciiTheme="majorHAnsi" w:hAnsiTheme="majorHAnsi" w:cs="Times New Roman"/>
          <w:sz w:val="22"/>
          <w:szCs w:val="22"/>
        </w:rPr>
        <w:t xml:space="preserve"> and the associated Regulations</w:t>
      </w:r>
      <w:r w:rsidRPr="0096791D">
        <w:rPr>
          <w:rFonts w:asciiTheme="majorHAnsi" w:hAnsiTheme="majorHAnsi"/>
          <w:sz w:val="22"/>
          <w:szCs w:val="22"/>
        </w:rPr>
        <w:t xml:space="preserve">, which is </w:t>
      </w:r>
      <w:r w:rsidRPr="0096791D">
        <w:rPr>
          <w:rFonts w:asciiTheme="majorHAnsi" w:hAnsiTheme="majorHAnsi" w:cs="Times New Roman"/>
          <w:sz w:val="22"/>
          <w:szCs w:val="22"/>
        </w:rPr>
        <w:t>unsatisfactory</w:t>
      </w:r>
      <w:r w:rsidRPr="0096791D">
        <w:rPr>
          <w:rFonts w:asciiTheme="majorHAnsi" w:hAnsiTheme="majorHAnsi"/>
          <w:sz w:val="22"/>
          <w:szCs w:val="22"/>
        </w:rPr>
        <w:t xml:space="preserve"> </w:t>
      </w:r>
      <w:r w:rsidRPr="0096791D">
        <w:rPr>
          <w:rFonts w:asciiTheme="majorHAnsi" w:hAnsiTheme="majorHAnsi" w:cs="Times New Roman"/>
          <w:sz w:val="22"/>
          <w:szCs w:val="22"/>
        </w:rPr>
        <w:t>in a number of ways, particularly:</w:t>
      </w:r>
    </w:p>
    <w:p w:rsidR="00935517" w:rsidRPr="0096791D" w:rsidRDefault="00935517" w:rsidP="00935517">
      <w:pPr>
        <w:pStyle w:val="ListParagraph"/>
        <w:numPr>
          <w:ilvl w:val="0"/>
          <w:numId w:val="2"/>
        </w:numPr>
        <w:ind w:hanging="357"/>
        <w:contextualSpacing w:val="0"/>
        <w:jc w:val="both"/>
        <w:rPr>
          <w:rFonts w:asciiTheme="majorHAnsi" w:hAnsiTheme="majorHAnsi" w:cs="Times New Roman"/>
          <w:sz w:val="22"/>
          <w:szCs w:val="22"/>
        </w:rPr>
      </w:pPr>
      <w:r w:rsidRPr="0096791D">
        <w:rPr>
          <w:rFonts w:asciiTheme="majorHAnsi" w:hAnsiTheme="majorHAnsi" w:cs="Times New Roman"/>
          <w:sz w:val="22"/>
          <w:szCs w:val="22"/>
        </w:rPr>
        <w:t>Some</w:t>
      </w:r>
      <w:r w:rsidRPr="0096791D">
        <w:rPr>
          <w:rFonts w:asciiTheme="majorHAnsi" w:hAnsiTheme="majorHAnsi"/>
          <w:sz w:val="22"/>
          <w:szCs w:val="22"/>
        </w:rPr>
        <w:t xml:space="preserve"> provisions </w:t>
      </w:r>
      <w:r w:rsidRPr="0096791D">
        <w:rPr>
          <w:rFonts w:asciiTheme="majorHAnsi" w:hAnsiTheme="majorHAnsi" w:cs="Times New Roman"/>
          <w:sz w:val="22"/>
          <w:szCs w:val="22"/>
        </w:rPr>
        <w:t>contain</w:t>
      </w:r>
      <w:r w:rsidRPr="0096791D">
        <w:rPr>
          <w:rFonts w:asciiTheme="majorHAnsi" w:hAnsiTheme="majorHAnsi"/>
          <w:sz w:val="22"/>
          <w:szCs w:val="22"/>
        </w:rPr>
        <w:t xml:space="preserve"> excessive detail</w:t>
      </w:r>
      <w:r w:rsidRPr="0096791D">
        <w:rPr>
          <w:rFonts w:asciiTheme="majorHAnsi" w:hAnsiTheme="majorHAnsi" w:cs="Times New Roman"/>
          <w:sz w:val="22"/>
          <w:szCs w:val="22"/>
        </w:rPr>
        <w:t>, often of marginal benefit</w:t>
      </w:r>
      <w:r w:rsidRPr="0096791D">
        <w:rPr>
          <w:rFonts w:asciiTheme="majorHAnsi" w:hAnsiTheme="majorHAnsi"/>
          <w:sz w:val="22"/>
          <w:szCs w:val="22"/>
        </w:rPr>
        <w:t xml:space="preserve">, </w:t>
      </w:r>
      <w:r w:rsidRPr="0096791D">
        <w:rPr>
          <w:rFonts w:asciiTheme="majorHAnsi" w:hAnsiTheme="majorHAnsi" w:cs="Times New Roman"/>
          <w:sz w:val="22"/>
          <w:szCs w:val="22"/>
        </w:rPr>
        <w:t>making them difficult to understand and to navigate</w:t>
      </w:r>
      <w:r w:rsidRPr="0096791D">
        <w:rPr>
          <w:rFonts w:asciiTheme="majorHAnsi" w:hAnsiTheme="majorHAnsi"/>
          <w:sz w:val="22"/>
          <w:szCs w:val="22"/>
        </w:rPr>
        <w:t>.</w:t>
      </w:r>
      <w:r w:rsidRPr="0096791D">
        <w:rPr>
          <w:rFonts w:asciiTheme="majorHAnsi" w:hAnsiTheme="majorHAnsi" w:cs="Times New Roman"/>
          <w:sz w:val="22"/>
          <w:szCs w:val="22"/>
        </w:rPr>
        <w:t xml:space="preserve"> For instance, the PPSA uses</w:t>
      </w:r>
      <w:r w:rsidRPr="0096791D">
        <w:rPr>
          <w:rFonts w:asciiTheme="majorHAnsi" w:hAnsiTheme="majorHAnsi"/>
          <w:sz w:val="22"/>
          <w:szCs w:val="22"/>
        </w:rPr>
        <w:t xml:space="preserve"> </w:t>
      </w:r>
      <w:r w:rsidRPr="0096791D">
        <w:rPr>
          <w:rFonts w:asciiTheme="majorHAnsi" w:hAnsiTheme="majorHAnsi" w:cs="Times New Roman"/>
          <w:sz w:val="22"/>
          <w:szCs w:val="22"/>
        </w:rPr>
        <w:t xml:space="preserve">unduly complex definitions of </w:t>
      </w:r>
      <w:r w:rsidRPr="0096791D">
        <w:rPr>
          <w:rFonts w:asciiTheme="majorHAnsi" w:hAnsiTheme="majorHAnsi" w:cs="Times New Roman"/>
          <w:sz w:val="22"/>
          <w:szCs w:val="22"/>
        </w:rPr>
        <w:lastRenderedPageBreak/>
        <w:t xml:space="preserve">“circulating assets” and “control” of them (the meaning of which is different than for perfection) to preserve priority above employees’ entitlements on the employer’s insolvency (this is aside from the any discussion on the desirability of the rule as a matter of policy). It is additionally not entirely clear that inclusion of the operational detail in the main body of the Act itself, rather than a schedule, was helpful. </w:t>
      </w:r>
    </w:p>
    <w:p w:rsidR="00935517" w:rsidRPr="0096791D" w:rsidRDefault="00935517" w:rsidP="00935517">
      <w:pPr>
        <w:pStyle w:val="ListParagraph"/>
        <w:numPr>
          <w:ilvl w:val="0"/>
          <w:numId w:val="2"/>
        </w:numPr>
        <w:ind w:hanging="357"/>
        <w:contextualSpacing w:val="0"/>
        <w:jc w:val="both"/>
        <w:rPr>
          <w:rFonts w:asciiTheme="majorHAnsi" w:hAnsiTheme="majorHAnsi" w:cs="Times New Roman"/>
          <w:sz w:val="22"/>
          <w:szCs w:val="22"/>
        </w:rPr>
      </w:pPr>
      <w:r w:rsidRPr="0096791D">
        <w:rPr>
          <w:rFonts w:asciiTheme="majorHAnsi" w:hAnsiTheme="majorHAnsi" w:cs="Times New Roman"/>
          <w:sz w:val="22"/>
          <w:szCs w:val="22"/>
        </w:rPr>
        <w:t xml:space="preserve">The Act was drafted using concepts unfamiliar in Australian law. For example, the PPSA introduced the concept of a chattel paper in the hope of fostering a particular market practice (this did not work).  </w:t>
      </w:r>
    </w:p>
    <w:p w:rsidR="00935517" w:rsidRPr="00935517" w:rsidRDefault="00935517" w:rsidP="00935517">
      <w:pPr>
        <w:pStyle w:val="ListParagraph"/>
        <w:numPr>
          <w:ilvl w:val="0"/>
          <w:numId w:val="2"/>
        </w:numPr>
        <w:ind w:hanging="357"/>
        <w:contextualSpacing w:val="0"/>
        <w:jc w:val="both"/>
        <w:rPr>
          <w:rFonts w:asciiTheme="majorHAnsi" w:hAnsiTheme="majorHAnsi" w:cs="Times New Roman"/>
          <w:sz w:val="22"/>
          <w:szCs w:val="22"/>
        </w:rPr>
      </w:pPr>
      <w:r w:rsidRPr="0096791D">
        <w:rPr>
          <w:rFonts w:asciiTheme="majorHAnsi" w:hAnsiTheme="majorHAnsi" w:cs="Times New Roman"/>
          <w:sz w:val="22"/>
          <w:szCs w:val="22"/>
        </w:rPr>
        <w:t xml:space="preserve">The drafting of some provisions is unclear, leading to uncertainty and undesirable outcomes. </w:t>
      </w:r>
      <w:r>
        <w:rPr>
          <w:rFonts w:asciiTheme="majorHAnsi" w:hAnsiTheme="majorHAnsi" w:cs="Times New Roman"/>
          <w:sz w:val="22"/>
          <w:szCs w:val="22"/>
        </w:rPr>
        <w:t>For example, t</w:t>
      </w:r>
      <w:r w:rsidRPr="00935517">
        <w:rPr>
          <w:rFonts w:asciiTheme="majorHAnsi" w:hAnsiTheme="majorHAnsi" w:cs="Times New Roman"/>
          <w:sz w:val="22"/>
          <w:szCs w:val="22"/>
        </w:rPr>
        <w:t>he PPSA introduced registration of “bailment other than a lease” alongside registration of long-term leases that do not perform a security function (which is common in PPSAs elsewhere). This has had (quite possibly unintended) consequences of applying to a very wide range of situations, e.g. where an artist stores his or her art work with a storage company.</w:t>
      </w:r>
    </w:p>
    <w:p w:rsidR="00935517" w:rsidRPr="0096791D" w:rsidRDefault="00935517" w:rsidP="00935517">
      <w:pPr>
        <w:pStyle w:val="ListParagraph"/>
        <w:ind w:left="1800"/>
        <w:contextualSpacing w:val="0"/>
        <w:rPr>
          <w:rFonts w:asciiTheme="majorHAnsi" w:hAnsiTheme="majorHAnsi" w:cs="Times New Roman"/>
          <w:sz w:val="22"/>
          <w:szCs w:val="22"/>
        </w:rPr>
      </w:pPr>
    </w:p>
    <w:p w:rsidR="00935517" w:rsidRPr="0096791D" w:rsidRDefault="00935517" w:rsidP="00935517">
      <w:pPr>
        <w:pStyle w:val="ListParagraph"/>
        <w:numPr>
          <w:ilvl w:val="0"/>
          <w:numId w:val="4"/>
        </w:numPr>
        <w:spacing w:after="240"/>
        <w:contextualSpacing w:val="0"/>
        <w:jc w:val="both"/>
        <w:rPr>
          <w:rFonts w:asciiTheme="majorHAnsi" w:hAnsiTheme="majorHAnsi" w:cs="Times New Roman"/>
          <w:sz w:val="22"/>
          <w:szCs w:val="22"/>
        </w:rPr>
      </w:pPr>
      <w:r w:rsidRPr="0096791D">
        <w:rPr>
          <w:rFonts w:asciiTheme="majorHAnsi" w:hAnsiTheme="majorHAnsi" w:cs="Times New Roman"/>
          <w:sz w:val="22"/>
          <w:szCs w:val="22"/>
        </w:rPr>
        <w:t>Another concern is the</w:t>
      </w:r>
      <w:r w:rsidRPr="0096791D">
        <w:rPr>
          <w:rFonts w:asciiTheme="majorHAnsi" w:hAnsiTheme="majorHAnsi"/>
          <w:sz w:val="22"/>
          <w:szCs w:val="22"/>
        </w:rPr>
        <w:t xml:space="preserve"> way the PPSA incorporates policy considerations</w:t>
      </w:r>
      <w:r w:rsidRPr="0096791D">
        <w:rPr>
          <w:rFonts w:asciiTheme="majorHAnsi" w:hAnsiTheme="majorHAnsi" w:cs="Times New Roman"/>
          <w:sz w:val="22"/>
          <w:szCs w:val="22"/>
        </w:rPr>
        <w:t xml:space="preserve"> and what the policy outcomes are. The PPSA </w:t>
      </w:r>
      <w:r w:rsidRPr="0096791D">
        <w:rPr>
          <w:rFonts w:asciiTheme="majorHAnsi" w:hAnsiTheme="majorHAnsi" w:cs="Helvetica Neue"/>
          <w:sz w:val="22"/>
          <w:szCs w:val="22"/>
        </w:rPr>
        <w:t xml:space="preserve">excludes a number of types of property and security interest from its reach, for a range of reasons, but it is not clear </w:t>
      </w:r>
      <w:r w:rsidRPr="0096791D">
        <w:rPr>
          <w:rFonts w:asciiTheme="majorHAnsi" w:hAnsiTheme="majorHAnsi" w:cs="Times New Roman"/>
          <w:sz w:val="22"/>
          <w:szCs w:val="22"/>
        </w:rPr>
        <w:t>to what extent</w:t>
      </w:r>
      <w:r w:rsidRPr="0096791D">
        <w:rPr>
          <w:rFonts w:asciiTheme="majorHAnsi" w:hAnsiTheme="majorHAnsi" w:cs="Helvetica Neue"/>
          <w:sz w:val="22"/>
          <w:szCs w:val="22"/>
        </w:rPr>
        <w:t xml:space="preserve"> these reasons correspond to </w:t>
      </w:r>
      <w:r w:rsidRPr="0096791D">
        <w:rPr>
          <w:rFonts w:asciiTheme="majorHAnsi" w:hAnsiTheme="majorHAnsi" w:cs="Times New Roman"/>
          <w:sz w:val="22"/>
          <w:szCs w:val="22"/>
        </w:rPr>
        <w:t xml:space="preserve">desired </w:t>
      </w:r>
      <w:r w:rsidRPr="0096791D">
        <w:rPr>
          <w:rFonts w:asciiTheme="majorHAnsi" w:hAnsiTheme="majorHAnsi" w:cs="Helvetica Neue"/>
          <w:sz w:val="22"/>
          <w:szCs w:val="22"/>
        </w:rPr>
        <w:t>policies. For example, it is not clear why</w:t>
      </w:r>
      <w:r w:rsidRPr="0096791D">
        <w:rPr>
          <w:rFonts w:asciiTheme="majorHAnsi" w:hAnsiTheme="majorHAnsi" w:cs="Times New Roman"/>
          <w:sz w:val="22"/>
          <w:szCs w:val="22"/>
        </w:rPr>
        <w:t xml:space="preserve"> pawnbroking transactions, as defined in the PPSA, are outside the scope of the Act</w:t>
      </w:r>
      <w:r w:rsidRPr="0096791D">
        <w:rPr>
          <w:rFonts w:asciiTheme="majorHAnsi" w:hAnsiTheme="majorHAnsi" w:cs="Helvetica Neue"/>
          <w:sz w:val="22"/>
          <w:szCs w:val="22"/>
        </w:rPr>
        <w:t xml:space="preserve">. </w:t>
      </w:r>
    </w:p>
    <w:p w:rsidR="00935517" w:rsidRPr="0096791D" w:rsidRDefault="00935517" w:rsidP="00935517">
      <w:pPr>
        <w:pStyle w:val="ListParagraph"/>
        <w:numPr>
          <w:ilvl w:val="0"/>
          <w:numId w:val="4"/>
        </w:numPr>
        <w:ind w:hanging="357"/>
        <w:contextualSpacing w:val="0"/>
        <w:jc w:val="both"/>
        <w:rPr>
          <w:rFonts w:asciiTheme="majorHAnsi" w:hAnsiTheme="majorHAnsi" w:cs="Times New Roman"/>
          <w:sz w:val="22"/>
          <w:szCs w:val="22"/>
        </w:rPr>
      </w:pPr>
      <w:r w:rsidRPr="0096791D">
        <w:rPr>
          <w:rFonts w:asciiTheme="majorHAnsi" w:hAnsiTheme="majorHAnsi" w:cs="Times New Roman"/>
          <w:sz w:val="22"/>
          <w:szCs w:val="22"/>
        </w:rPr>
        <w:t>Broadly speaking, the review identified the need to take the following steps</w:t>
      </w:r>
      <w:r w:rsidRPr="0096791D">
        <w:rPr>
          <w:rFonts w:asciiTheme="majorHAnsi" w:hAnsiTheme="majorHAnsi" w:cs="Helvetica Neue"/>
          <w:sz w:val="22"/>
          <w:szCs w:val="22"/>
        </w:rPr>
        <w:t>:</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Helvetica Neue"/>
          <w:sz w:val="22"/>
          <w:szCs w:val="22"/>
        </w:rPr>
        <w:t xml:space="preserve">To simplify the content of the </w:t>
      </w:r>
      <w:r w:rsidRPr="0096791D">
        <w:rPr>
          <w:rFonts w:asciiTheme="majorHAnsi" w:hAnsiTheme="majorHAnsi" w:cs="Times New Roman"/>
          <w:sz w:val="22"/>
          <w:szCs w:val="22"/>
        </w:rPr>
        <w:t>PPSA</w:t>
      </w:r>
      <w:r w:rsidRPr="0096791D">
        <w:rPr>
          <w:rFonts w:asciiTheme="majorHAnsi" w:hAnsiTheme="majorHAnsi" w:cs="Helvetica Neue"/>
          <w:sz w:val="22"/>
          <w:szCs w:val="22"/>
        </w:rPr>
        <w:t xml:space="preserve"> and the Regulations</w:t>
      </w:r>
      <w:r w:rsidRPr="0096791D">
        <w:rPr>
          <w:rFonts w:asciiTheme="majorHAnsi" w:hAnsiTheme="majorHAnsi" w:cs="Times New Roman"/>
          <w:sz w:val="22"/>
          <w:szCs w:val="22"/>
        </w:rPr>
        <w:t xml:space="preserve"> </w:t>
      </w:r>
      <w:r w:rsidRPr="0096791D">
        <w:rPr>
          <w:rFonts w:asciiTheme="majorHAnsi" w:hAnsiTheme="majorHAnsi" w:cs="Helvetica Neue"/>
          <w:sz w:val="22"/>
          <w:szCs w:val="22"/>
        </w:rPr>
        <w:t>by using more streamlined language and removing provisions that are of marginal benefit.</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Helvetica Neue"/>
          <w:sz w:val="22"/>
          <w:szCs w:val="22"/>
        </w:rPr>
        <w:t xml:space="preserve">To simplify the Register by reducing the number of decision points for users and making the remaining decision points clearer and easier to answer. </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Helvetica Neue"/>
          <w:sz w:val="22"/>
          <w:szCs w:val="22"/>
        </w:rPr>
        <w:t xml:space="preserve">To use more customary and intuitive terminology. </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Helvetica Neue"/>
          <w:sz w:val="22"/>
          <w:szCs w:val="22"/>
        </w:rPr>
        <w:t xml:space="preserve">To explain the concepts </w:t>
      </w:r>
      <w:r w:rsidRPr="0096791D">
        <w:rPr>
          <w:rFonts w:asciiTheme="majorHAnsi" w:hAnsiTheme="majorHAnsi" w:cs="Times New Roman"/>
          <w:sz w:val="22"/>
          <w:szCs w:val="22"/>
        </w:rPr>
        <w:t xml:space="preserve">that are </w:t>
      </w:r>
      <w:r w:rsidRPr="0096791D">
        <w:rPr>
          <w:rFonts w:asciiTheme="majorHAnsi" w:hAnsiTheme="majorHAnsi" w:cs="Helvetica Neue"/>
          <w:sz w:val="22"/>
          <w:szCs w:val="22"/>
        </w:rPr>
        <w:t>critical to understanding how the PPSA works</w:t>
      </w:r>
      <w:r w:rsidRPr="0096791D">
        <w:rPr>
          <w:rFonts w:asciiTheme="majorHAnsi" w:hAnsiTheme="majorHAnsi" w:cs="Times New Roman"/>
          <w:sz w:val="22"/>
          <w:szCs w:val="22"/>
        </w:rPr>
        <w:t>.</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Times New Roman"/>
          <w:sz w:val="22"/>
          <w:szCs w:val="22"/>
        </w:rPr>
        <w:t xml:space="preserve">To restructure the Act by moving the part on the operation of the Register outside the Act (this will cut the length of the Act by almost a third). </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Helvetica Neue"/>
          <w:sz w:val="22"/>
          <w:szCs w:val="22"/>
        </w:rPr>
      </w:pPr>
      <w:r w:rsidRPr="0096791D">
        <w:rPr>
          <w:rFonts w:asciiTheme="majorHAnsi" w:hAnsiTheme="majorHAnsi" w:cs="Helvetica Neue"/>
          <w:sz w:val="22"/>
          <w:szCs w:val="22"/>
        </w:rPr>
        <w:t>To revisit the exclusions. The Act will best be able to achieve its objectives if it can apply as broadly as possible.</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ind w:hanging="357"/>
        <w:contextualSpacing w:val="0"/>
        <w:jc w:val="both"/>
        <w:rPr>
          <w:rFonts w:asciiTheme="majorHAnsi" w:hAnsiTheme="majorHAnsi" w:cs="Times New Roman"/>
          <w:sz w:val="22"/>
          <w:szCs w:val="22"/>
        </w:rPr>
      </w:pPr>
      <w:r w:rsidRPr="0096791D">
        <w:rPr>
          <w:rFonts w:asciiTheme="majorHAnsi" w:hAnsiTheme="majorHAnsi" w:cs="Helvetica Neue"/>
          <w:sz w:val="22"/>
          <w:szCs w:val="22"/>
        </w:rPr>
        <w:t>To better reflect Australian conditions</w:t>
      </w:r>
      <w:r w:rsidRPr="0096791D">
        <w:rPr>
          <w:rFonts w:asciiTheme="majorHAnsi" w:hAnsiTheme="majorHAnsi" w:cs="Times New Roman"/>
          <w:sz w:val="22"/>
          <w:szCs w:val="22"/>
        </w:rPr>
        <w:t xml:space="preserve"> by re-assessing the policy outcomes on which it is based</w:t>
      </w:r>
      <w:r w:rsidRPr="0096791D">
        <w:rPr>
          <w:rFonts w:asciiTheme="majorHAnsi" w:hAnsiTheme="majorHAnsi" w:cs="Helvetica Neue"/>
          <w:sz w:val="22"/>
          <w:szCs w:val="22"/>
        </w:rPr>
        <w:t xml:space="preserve">. </w:t>
      </w:r>
    </w:p>
    <w:p w:rsidR="00935517" w:rsidRPr="0096791D" w:rsidRDefault="00935517" w:rsidP="00935517">
      <w:pPr>
        <w:pStyle w:val="ListParagraph"/>
        <w:widowControl w:val="0"/>
        <w:numPr>
          <w:ilvl w:val="0"/>
          <w:numId w:val="1"/>
        </w:numPr>
        <w:tabs>
          <w:tab w:val="left" w:pos="220"/>
          <w:tab w:val="left" w:pos="720"/>
        </w:tabs>
        <w:autoSpaceDE w:val="0"/>
        <w:autoSpaceDN w:val="0"/>
        <w:adjustRightInd w:val="0"/>
        <w:spacing w:after="240"/>
        <w:contextualSpacing w:val="0"/>
        <w:jc w:val="both"/>
        <w:rPr>
          <w:rFonts w:asciiTheme="majorHAnsi" w:hAnsiTheme="majorHAnsi" w:cs="Times New Roman"/>
          <w:sz w:val="22"/>
          <w:szCs w:val="22"/>
        </w:rPr>
      </w:pPr>
      <w:r w:rsidRPr="0096791D">
        <w:rPr>
          <w:rFonts w:asciiTheme="majorHAnsi" w:hAnsiTheme="majorHAnsi" w:cs="Times New Roman"/>
          <w:sz w:val="22"/>
          <w:szCs w:val="22"/>
        </w:rPr>
        <w:t xml:space="preserve">To undertake </w:t>
      </w:r>
      <w:r w:rsidRPr="0096791D">
        <w:rPr>
          <w:rFonts w:asciiTheme="majorHAnsi" w:hAnsiTheme="majorHAnsi"/>
          <w:sz w:val="22"/>
          <w:szCs w:val="22"/>
        </w:rPr>
        <w:t xml:space="preserve">a fresh education campaign, recognising that the </w:t>
      </w:r>
      <w:r w:rsidRPr="0096791D">
        <w:rPr>
          <w:rFonts w:asciiTheme="majorHAnsi" w:hAnsiTheme="majorHAnsi" w:cs="Times New Roman"/>
          <w:sz w:val="22"/>
          <w:szCs w:val="22"/>
        </w:rPr>
        <w:t xml:space="preserve">PPSA </w:t>
      </w:r>
      <w:r w:rsidRPr="0096791D">
        <w:rPr>
          <w:rFonts w:asciiTheme="majorHAnsi" w:hAnsiTheme="majorHAnsi"/>
          <w:sz w:val="22"/>
          <w:szCs w:val="22"/>
        </w:rPr>
        <w:t>deals with a complex area of commercial activity and will never be easy to read.</w:t>
      </w:r>
    </w:p>
    <w:p w:rsidR="00935517" w:rsidRPr="0096791D" w:rsidRDefault="00935517" w:rsidP="00935517">
      <w:pPr>
        <w:pStyle w:val="ListParagraph"/>
        <w:numPr>
          <w:ilvl w:val="0"/>
          <w:numId w:val="4"/>
        </w:numPr>
        <w:spacing w:after="240"/>
        <w:contextualSpacing w:val="0"/>
        <w:rPr>
          <w:rFonts w:asciiTheme="majorHAnsi" w:hAnsiTheme="majorHAnsi" w:cs="Times New Roman"/>
          <w:sz w:val="22"/>
          <w:szCs w:val="22"/>
        </w:rPr>
      </w:pPr>
      <w:r w:rsidRPr="0096791D">
        <w:rPr>
          <w:rFonts w:asciiTheme="majorHAnsi" w:hAnsiTheme="majorHAnsi" w:cs="Times New Roman"/>
          <w:sz w:val="22"/>
          <w:szCs w:val="22"/>
        </w:rPr>
        <w:t xml:space="preserve">The final report indicated that if the Australian Government is minded to follow the recommendations, it is urged to take them as an inter-connected whole and not to adopt them in a piecemeal fashion. </w:t>
      </w:r>
    </w:p>
    <w:p w:rsidR="00935517" w:rsidRPr="0096791D" w:rsidRDefault="00935517" w:rsidP="00935517">
      <w:pPr>
        <w:rPr>
          <w:rFonts w:asciiTheme="majorHAnsi" w:hAnsiTheme="majorHAnsi"/>
          <w:sz w:val="22"/>
          <w:szCs w:val="22"/>
        </w:rPr>
      </w:pPr>
      <w:r w:rsidRPr="0096791D">
        <w:rPr>
          <w:rFonts w:asciiTheme="majorHAnsi" w:hAnsiTheme="majorHAnsi"/>
          <w:sz w:val="22"/>
          <w:szCs w:val="22"/>
        </w:rPr>
        <w:t>Magda Raczynska</w:t>
      </w:r>
    </w:p>
    <w:p w:rsidR="00935517" w:rsidRPr="0096791D" w:rsidRDefault="00935517" w:rsidP="00935517">
      <w:pPr>
        <w:rPr>
          <w:rFonts w:asciiTheme="majorHAnsi" w:hAnsiTheme="majorHAnsi"/>
          <w:sz w:val="22"/>
          <w:szCs w:val="22"/>
        </w:rPr>
      </w:pPr>
      <w:r w:rsidRPr="0096791D">
        <w:rPr>
          <w:rFonts w:asciiTheme="majorHAnsi" w:hAnsiTheme="majorHAnsi"/>
          <w:sz w:val="22"/>
          <w:szCs w:val="22"/>
        </w:rPr>
        <w:t>14</w:t>
      </w:r>
      <w:r w:rsidRPr="0096791D">
        <w:rPr>
          <w:rFonts w:asciiTheme="majorHAnsi" w:hAnsiTheme="majorHAnsi"/>
          <w:sz w:val="22"/>
          <w:szCs w:val="22"/>
          <w:vertAlign w:val="superscript"/>
        </w:rPr>
        <w:t>th</w:t>
      </w:r>
      <w:r w:rsidRPr="0096791D">
        <w:rPr>
          <w:rFonts w:asciiTheme="majorHAnsi" w:hAnsiTheme="majorHAnsi"/>
          <w:sz w:val="22"/>
          <w:szCs w:val="22"/>
        </w:rPr>
        <w:t xml:space="preserve"> May 2015</w:t>
      </w:r>
    </w:p>
    <w:p w:rsidR="00835015" w:rsidRDefault="00835015"/>
    <w:sectPr w:rsidR="00835015" w:rsidSect="00935517">
      <w:footerReference w:type="even" r:id="rId6"/>
      <w:footerReference w:type="default" r:id="rId7"/>
      <w:pgSz w:w="11900" w:h="16840"/>
      <w:pgMar w:top="1361" w:right="1474" w:bottom="1361" w:left="130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Helvetica Neue Light">
    <w:panose1 w:val="02000403000000020004"/>
    <w:charset w:val="00"/>
    <w:family w:val="auto"/>
    <w:pitch w:val="variable"/>
    <w:sig w:usb0="A00002FF" w:usb1="5000205B" w:usb2="00000002" w:usb3="00000000" w:csb0="00000007"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517" w:rsidRDefault="00935517" w:rsidP="009355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35517" w:rsidRDefault="00935517" w:rsidP="0093551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517" w:rsidRDefault="00935517" w:rsidP="009355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73281">
      <w:rPr>
        <w:rStyle w:val="PageNumber"/>
        <w:noProof/>
      </w:rPr>
      <w:t>1</w:t>
    </w:r>
    <w:r>
      <w:rPr>
        <w:rStyle w:val="PageNumber"/>
      </w:rPr>
      <w:fldChar w:fldCharType="end"/>
    </w:r>
  </w:p>
  <w:p w:rsidR="00935517" w:rsidRDefault="00935517" w:rsidP="00935517">
    <w:pPr>
      <w:pStyle w:val="Footer"/>
      <w:ind w:right="360"/>
    </w:pP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F67E8"/>
    <w:multiLevelType w:val="hybridMultilevel"/>
    <w:tmpl w:val="73F4BC74"/>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9083024"/>
    <w:multiLevelType w:val="hybridMultilevel"/>
    <w:tmpl w:val="1646D2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77A5F8F"/>
    <w:multiLevelType w:val="hybridMultilevel"/>
    <w:tmpl w:val="7FB4860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2060F6B"/>
    <w:multiLevelType w:val="hybridMultilevel"/>
    <w:tmpl w:val="1DC44252"/>
    <w:lvl w:ilvl="0" w:tplc="161E01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517"/>
    <w:rsid w:val="00835015"/>
    <w:rsid w:val="00935517"/>
    <w:rsid w:val="00D732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09CE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5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517"/>
    <w:pPr>
      <w:ind w:left="720"/>
      <w:contextualSpacing/>
    </w:pPr>
  </w:style>
  <w:style w:type="paragraph" w:styleId="Footer">
    <w:name w:val="footer"/>
    <w:basedOn w:val="Normal"/>
    <w:link w:val="FooterChar"/>
    <w:uiPriority w:val="99"/>
    <w:unhideWhenUsed/>
    <w:rsid w:val="00935517"/>
    <w:pPr>
      <w:tabs>
        <w:tab w:val="center" w:pos="4320"/>
        <w:tab w:val="right" w:pos="8640"/>
      </w:tabs>
    </w:pPr>
  </w:style>
  <w:style w:type="character" w:customStyle="1" w:styleId="FooterChar">
    <w:name w:val="Footer Char"/>
    <w:basedOn w:val="DefaultParagraphFont"/>
    <w:link w:val="Footer"/>
    <w:uiPriority w:val="99"/>
    <w:rsid w:val="00935517"/>
  </w:style>
  <w:style w:type="character" w:styleId="PageNumber">
    <w:name w:val="page number"/>
    <w:basedOn w:val="DefaultParagraphFont"/>
    <w:uiPriority w:val="99"/>
    <w:semiHidden/>
    <w:unhideWhenUsed/>
    <w:rsid w:val="0093551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5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517"/>
    <w:pPr>
      <w:ind w:left="720"/>
      <w:contextualSpacing/>
    </w:pPr>
  </w:style>
  <w:style w:type="paragraph" w:styleId="Footer">
    <w:name w:val="footer"/>
    <w:basedOn w:val="Normal"/>
    <w:link w:val="FooterChar"/>
    <w:uiPriority w:val="99"/>
    <w:unhideWhenUsed/>
    <w:rsid w:val="00935517"/>
    <w:pPr>
      <w:tabs>
        <w:tab w:val="center" w:pos="4320"/>
        <w:tab w:val="right" w:pos="8640"/>
      </w:tabs>
    </w:pPr>
  </w:style>
  <w:style w:type="character" w:customStyle="1" w:styleId="FooterChar">
    <w:name w:val="Footer Char"/>
    <w:basedOn w:val="DefaultParagraphFont"/>
    <w:link w:val="Footer"/>
    <w:uiPriority w:val="99"/>
    <w:rsid w:val="00935517"/>
  </w:style>
  <w:style w:type="character" w:styleId="PageNumber">
    <w:name w:val="page number"/>
    <w:basedOn w:val="DefaultParagraphFont"/>
    <w:uiPriority w:val="99"/>
    <w:semiHidden/>
    <w:unhideWhenUsed/>
    <w:rsid w:val="00935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986</Words>
  <Characters>5623</Characters>
  <Application>Microsoft Macintosh Word</Application>
  <DocSecurity>0</DocSecurity>
  <Lines>46</Lines>
  <Paragraphs>13</Paragraphs>
  <ScaleCrop>false</ScaleCrop>
  <Company/>
  <LinksUpToDate>false</LinksUpToDate>
  <CharactersWithSpaces>6596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dc:creator>
  <cp:keywords/>
  <dc:description/>
  <cp:lastModifiedBy>MR</cp:lastModifiedBy>
  <cp:revision>1</cp:revision>
  <dcterms:created xsi:type="dcterms:W3CDTF">2015-05-20T17:01:00Z</dcterms:created>
  <dcterms:modified xsi:type="dcterms:W3CDTF">2015-05-20T17:18:00Z</dcterms:modified>
</cp:coreProperties>
</file>